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24" w:rsidRPr="00C839E1" w:rsidRDefault="005F5D24" w:rsidP="00C839E1">
      <w:pPr>
        <w:rPr>
          <w:rFonts w:ascii="Arial" w:hAnsi="Arial" w:cs="Arial"/>
        </w:rPr>
      </w:pPr>
    </w:p>
    <w:p w:rsidR="005F5D24" w:rsidRPr="00C839E1" w:rsidRDefault="005F5D24" w:rsidP="00C839E1">
      <w:pPr>
        <w:rPr>
          <w:rFonts w:ascii="Arial" w:hAnsi="Arial" w:cs="Arial"/>
        </w:rPr>
      </w:pPr>
    </w:p>
    <w:p w:rsidR="005F5D24" w:rsidRPr="00C839E1" w:rsidRDefault="005F5D24" w:rsidP="00C839E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7242"/>
      </w:tblGrid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1D6575" w:rsidP="00F83C6B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F83C6B">
              <w:rPr>
                <w:rFonts w:ascii="Arial" w:hAnsi="Arial" w:cs="Arial"/>
                <w:b/>
                <w:color w:val="FFFFFF"/>
                <w:sz w:val="36"/>
                <w:szCs w:val="36"/>
              </w:rPr>
              <w:t>Betriebsanweisung</w:t>
            </w:r>
          </w:p>
          <w:p w:rsidR="001D6575" w:rsidRPr="00F83C6B" w:rsidRDefault="001D6575" w:rsidP="00984DB3">
            <w:pPr>
              <w:jc w:val="center"/>
              <w:rPr>
                <w:rFonts w:ascii="Arial" w:hAnsi="Arial" w:cs="Arial"/>
                <w:color w:val="FFFFFF"/>
                <w:spacing w:val="14"/>
                <w:sz w:val="18"/>
                <w:szCs w:val="18"/>
                <w:shd w:val="clear" w:color="auto" w:fill="FE0000"/>
              </w:rPr>
            </w:pPr>
            <w:r w:rsidRPr="00F83C6B">
              <w:rPr>
                <w:rFonts w:ascii="Arial" w:hAnsi="Arial" w:cs="Arial"/>
                <w:color w:val="FFFFFF"/>
                <w:spacing w:val="14"/>
                <w:sz w:val="18"/>
                <w:szCs w:val="18"/>
                <w:shd w:val="clear" w:color="auto" w:fill="FE0000"/>
              </w:rPr>
              <w:t>gemäß § 14 GefStoffV</w:t>
            </w:r>
            <w:r w:rsidR="0086037E">
              <w:rPr>
                <w:rFonts w:ascii="Arial" w:hAnsi="Arial" w:cs="Arial"/>
                <w:color w:val="FFFFFF"/>
                <w:spacing w:val="14"/>
                <w:sz w:val="18"/>
                <w:szCs w:val="18"/>
                <w:shd w:val="clear" w:color="auto" w:fill="FE0000"/>
              </w:rPr>
              <w:t xml:space="preserve"> </w:t>
            </w:r>
          </w:p>
        </w:tc>
      </w:tr>
      <w:tr w:rsidR="001D6575" w:rsidRPr="00F83C6B" w:rsidTr="00F83C6B"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1D6575" w:rsidRPr="00F83C6B" w:rsidRDefault="001D6575" w:rsidP="00C839E1">
            <w:pPr>
              <w:rPr>
                <w:rFonts w:ascii="Arial" w:hAnsi="Arial" w:cs="Arial"/>
                <w:b/>
              </w:rPr>
            </w:pPr>
            <w:r w:rsidRPr="00F83C6B">
              <w:rPr>
                <w:rFonts w:ascii="Arial" w:hAnsi="Arial" w:cs="Arial"/>
                <w:b/>
              </w:rPr>
              <w:t>Arbeitsbereich:</w:t>
            </w:r>
          </w:p>
          <w:p w:rsidR="001D6575" w:rsidRPr="00F83C6B" w:rsidRDefault="001D6575" w:rsidP="00C839E1">
            <w:pPr>
              <w:rPr>
                <w:rFonts w:ascii="Arial" w:hAnsi="Arial" w:cs="Arial"/>
                <w:b/>
              </w:rPr>
            </w:pPr>
            <w:r w:rsidRPr="00F83C6B">
              <w:rPr>
                <w:rFonts w:ascii="Arial" w:hAnsi="Arial" w:cs="Arial"/>
                <w:b/>
              </w:rPr>
              <w:t>Arbeitsplatz:</w:t>
            </w:r>
          </w:p>
          <w:p w:rsidR="001D6575" w:rsidRPr="00F83C6B" w:rsidRDefault="001D6575" w:rsidP="00C839E1">
            <w:pPr>
              <w:rPr>
                <w:rFonts w:ascii="Arial" w:hAnsi="Arial" w:cs="Arial"/>
              </w:rPr>
            </w:pPr>
            <w:r w:rsidRPr="00F83C6B">
              <w:rPr>
                <w:rFonts w:ascii="Arial" w:hAnsi="Arial" w:cs="Arial"/>
                <w:b/>
              </w:rPr>
              <w:t>Tätigkeit: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1D6575" w:rsidRPr="00F83C6B" w:rsidRDefault="001D6575" w:rsidP="00C839E1">
            <w:pPr>
              <w:rPr>
                <w:rFonts w:ascii="Arial" w:hAnsi="Arial" w:cs="Arial"/>
              </w:rPr>
            </w:pPr>
          </w:p>
        </w:tc>
      </w:tr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  <w:lang w:val="nl-NL"/>
              </w:rPr>
            </w:pPr>
            <w:r w:rsidRPr="00F83C6B"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  <w:lang w:val="nl-NL"/>
              </w:rPr>
              <w:t>Gefahrstoffbezeichnung</w:t>
            </w:r>
          </w:p>
        </w:tc>
      </w:tr>
      <w:tr w:rsidR="001D6575" w:rsidRPr="00F83C6B" w:rsidTr="00F83C6B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575" w:rsidRPr="00F83C6B" w:rsidRDefault="00984DB3" w:rsidP="00F83C6B">
            <w:pPr>
              <w:jc w:val="center"/>
              <w:rPr>
                <w:rFonts w:ascii="Arial" w:hAnsi="Arial" w:cs="Arial"/>
                <w:b/>
                <w:bCs/>
                <w:spacing w:val="2"/>
                <w:sz w:val="40"/>
                <w:szCs w:val="40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Cleanet</w:t>
            </w:r>
            <w:r w:rsidRPr="00984DB3">
              <w:rPr>
                <w:rFonts w:ascii="Helvetica-Bold" w:hAnsi="Helvetica-Bold" w:cs="Helvetica-Bold"/>
                <w:b/>
                <w:bCs/>
                <w:sz w:val="40"/>
                <w:szCs w:val="40"/>
                <w:vertAlign w:val="superscript"/>
              </w:rPr>
              <w:t>®</w:t>
            </w: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 xml:space="preserve"> GR 11</w:t>
            </w:r>
          </w:p>
        </w:tc>
      </w:tr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</w:pPr>
            <w:r w:rsidRPr="00F83C6B"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  <w:t>Gefahren für Mensch und Umwelt</w:t>
            </w:r>
          </w:p>
        </w:tc>
      </w:tr>
      <w:tr w:rsidR="001D6575" w:rsidRPr="00F83C6B" w:rsidTr="00F83C6B">
        <w:trPr>
          <w:trHeight w:val="701"/>
        </w:trPr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1E2CF2" w:rsidRPr="00F83C6B" w:rsidRDefault="001E2CF2" w:rsidP="00984DB3">
            <w:pPr>
              <w:rPr>
                <w:rFonts w:ascii="Arial" w:hAnsi="Arial" w:cs="Arial"/>
              </w:rPr>
            </w:pP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1E2CF2" w:rsidRDefault="001E2CF2" w:rsidP="00645973">
            <w:pPr>
              <w:rPr>
                <w:rFonts w:ascii="Arial" w:hAnsi="Arial" w:cs="Arial"/>
                <w:spacing w:val="2"/>
                <w:sz w:val="18"/>
                <w:szCs w:val="18"/>
              </w:rPr>
            </w:pPr>
          </w:p>
          <w:p w:rsidR="001E2CF2" w:rsidRPr="00F83C6B" w:rsidRDefault="001E2CF2" w:rsidP="00645973">
            <w:pPr>
              <w:rPr>
                <w:rFonts w:ascii="Arial" w:hAnsi="Arial" w:cs="Arial"/>
                <w:spacing w:val="2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-</w:t>
            </w:r>
          </w:p>
        </w:tc>
      </w:tr>
      <w:tr w:rsidR="001D6575" w:rsidRPr="00F83C6B" w:rsidTr="00F83C6B">
        <w:trPr>
          <w:trHeight w:val="248"/>
        </w:trPr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</w:pPr>
            <w:r w:rsidRPr="00F83C6B"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  <w:t>Schutzmaßnahmen und Verhaltensregeln</w:t>
            </w:r>
          </w:p>
        </w:tc>
      </w:tr>
      <w:tr w:rsidR="001D6575" w:rsidRPr="00F83C6B" w:rsidTr="00F83C6B"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AE17C9" w:rsidRDefault="00984DB3" w:rsidP="00AE17C9">
            <w:r>
              <w:rPr>
                <w:noProof/>
              </w:rPr>
              <w:drawing>
                <wp:inline distT="0" distB="0" distL="0" distR="0">
                  <wp:extent cx="523875" cy="523875"/>
                  <wp:effectExtent l="0" t="0" r="9525" b="9525"/>
                  <wp:docPr id="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14350" cy="514350"/>
                  <wp:effectExtent l="0" t="0" r="0" b="0"/>
                  <wp:docPr id="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7C9" w:rsidRDefault="00AE17C9" w:rsidP="00AE17C9">
            <w:pPr>
              <w:rPr>
                <w:noProof/>
              </w:rPr>
            </w:pPr>
          </w:p>
          <w:p w:rsidR="00232051" w:rsidRPr="00F83C6B" w:rsidRDefault="00984DB3" w:rsidP="00AE17C9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523875" cy="523875"/>
                  <wp:effectExtent l="0" t="0" r="9525" b="9525"/>
                  <wp:docPr id="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1D6575" w:rsidRPr="00F54AD6" w:rsidRDefault="00984DB3" w:rsidP="00984DB3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Auf sehr gute Be- und Entlüftung des Arbeitsplatzes achten.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Nicht rauchen, essen und trinken in Arbeits- und Lagerräumen. Auch keine Lebensmittel, Ge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tränke oder Tabak aufbewahren.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Vorgeschriebene Schutzausrüstung: - Schutzbrille oder Gesichtsschutz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Jede Störung sofort dem Vorgesetzten melden. Reparaturen sachgerecht und mit Vorsicht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. 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durchführen. Rohrleitungen müssen vollständig entleert werden.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Beim Umfüllen Verdunsten und Verspritzen vermeiden.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Zerbrechliche Gefäße mit der Substanz nur unter Verwendung eines Uberbehälters (z.B.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Plastikeimer mit Griff) transportieren. Nur in saubere und laugefeste Gebinde umfüllen.</w:t>
            </w:r>
          </w:p>
        </w:tc>
      </w:tr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</w:pPr>
            <w:r w:rsidRPr="00F83C6B"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  <w:t>Verhalten im Gefahrfall</w:t>
            </w:r>
          </w:p>
        </w:tc>
      </w:tr>
      <w:tr w:rsidR="001D6575" w:rsidRPr="00F83C6B" w:rsidTr="00F83C6B"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9E4313" w:rsidRDefault="009E4313" w:rsidP="00C839E1">
            <w:pPr>
              <w:rPr>
                <w:noProof/>
              </w:rPr>
            </w:pPr>
          </w:p>
          <w:p w:rsidR="001D6575" w:rsidRPr="00F83C6B" w:rsidRDefault="001D6575" w:rsidP="00C839E1">
            <w:pPr>
              <w:rPr>
                <w:rFonts w:ascii="Arial" w:hAnsi="Arial" w:cs="Arial"/>
              </w:rPr>
            </w:pP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984DB3" w:rsidRPr="00984DB3" w:rsidRDefault="00984DB3" w:rsidP="00984DB3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Im Falle einer Brandbekämpfung betriebliche Anweisungen genau einhalten.</w:t>
            </w:r>
          </w:p>
          <w:p w:rsidR="00984DB3" w:rsidRPr="00984DB3" w:rsidRDefault="00984DB3" w:rsidP="00984DB3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Kleine Brände mit CO2- oder Pulverlöscher bzw. mit Wassersprühstrahl löschen. Wenn mög</w:t>
            </w:r>
            <w:r>
              <w:t xml:space="preserve"> 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lich mit viel Wasser verdünnen.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Einatmen von Staub, Dämpfen oder Brandgasen vermeiden - Atemschutzgerät verwenden.</w:t>
            </w:r>
          </w:p>
          <w:p w:rsidR="001D6575" w:rsidRPr="00F83C6B" w:rsidRDefault="00984DB3" w:rsidP="00984DB3">
            <w:pPr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Bei Auftreten von Leckagen bzw. Auslaufen von Flüssigk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eit sofort Vorgesetzten oder Be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triebsleitung informieren.</w:t>
            </w:r>
          </w:p>
        </w:tc>
      </w:tr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</w:pPr>
            <w:r w:rsidRPr="00F83C6B"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  <w:t>Erste Hilfe</w:t>
            </w:r>
          </w:p>
        </w:tc>
      </w:tr>
      <w:tr w:rsidR="00044630" w:rsidRPr="00F83C6B" w:rsidTr="00F83C6B">
        <w:tc>
          <w:tcPr>
            <w:tcW w:w="2025" w:type="dxa"/>
            <w:vMerge w:val="restart"/>
            <w:shd w:val="clear" w:color="auto" w:fill="auto"/>
          </w:tcPr>
          <w:p w:rsidR="00044630" w:rsidRPr="00F83C6B" w:rsidRDefault="00984DB3" w:rsidP="00C839E1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466725" cy="466725"/>
                  <wp:effectExtent l="0" t="0" r="9525" b="9525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shd w:val="clear" w:color="auto" w:fill="auto"/>
          </w:tcPr>
          <w:p w:rsidR="00984DB3" w:rsidRPr="00984DB3" w:rsidRDefault="00984DB3" w:rsidP="00984DB3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Betroffene Haut gründlich mit Wasser und Seife waschen.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Bei großflächigen Hautbenetzungen sofort mit Notbrause spülen und benetzte Kleidung</w:t>
            </w:r>
          </w:p>
          <w:p w:rsidR="00F54AD6" w:rsidRPr="00984DB3" w:rsidRDefault="00984DB3" w:rsidP="00984DB3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vorsichtig entfernen. Anschließend die Haut mit viel Wasser spülen und ggf. mit einem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Spülmittel wie Previn behandeln.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Nach Verbrennungen Haut mit kaltem Wasser kühlen, bis Schmerz verschwindet. Gesichts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und Augenverbrennungen nicht verbinden. Für ärztliche Behandlung sorgen.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Nach Augenkontakt sofort mehrere Minuten mit Wasser spülen und Vorgesetzten verständigen. Nach betrieblicher Versorgung Augenarzt aufsuchen.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Nach Verschlucken reichlich Wasser trinken, falls vorhand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en mit Aktivkohle-Zusatz. Erbre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chen möglichst verhindern. Bei Bewußtlosigkeit Lagerung in stabiler Seitenlage. Arzt hinzu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ziehen bzw. aufsuchen.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Nach Einatmen für Frischluft, Ruhe und Wärme sorgen. Gegebenenfalls Arzt verständigen.</w:t>
            </w:r>
          </w:p>
        </w:tc>
      </w:tr>
      <w:tr w:rsidR="00044630" w:rsidRPr="00F83C6B" w:rsidTr="00F83C6B">
        <w:tc>
          <w:tcPr>
            <w:tcW w:w="2025" w:type="dxa"/>
            <w:vMerge/>
            <w:shd w:val="clear" w:color="auto" w:fill="auto"/>
          </w:tcPr>
          <w:p w:rsidR="00044630" w:rsidRPr="00F83C6B" w:rsidRDefault="00044630" w:rsidP="00C839E1">
            <w:pPr>
              <w:rPr>
                <w:rFonts w:ascii="Arial" w:hAnsi="Arial" w:cs="Arial"/>
              </w:rPr>
            </w:pPr>
          </w:p>
        </w:tc>
        <w:tc>
          <w:tcPr>
            <w:tcW w:w="7263" w:type="dxa"/>
            <w:shd w:val="clear" w:color="auto" w:fill="auto"/>
          </w:tcPr>
          <w:p w:rsidR="00044630" w:rsidRPr="00F83C6B" w:rsidRDefault="00044630" w:rsidP="00F83C6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 Notfall: </w:t>
            </w:r>
          </w:p>
          <w:p w:rsidR="00044630" w:rsidRPr="00F83C6B" w:rsidRDefault="00044630" w:rsidP="00F83C6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4630" w:rsidRPr="00F83C6B" w:rsidRDefault="00044630" w:rsidP="00F83C6B">
            <w:pPr>
              <w:jc w:val="both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Ersthelfer </w:t>
            </w:r>
            <w:r w:rsidRPr="00F83C6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zuständiger Arzt</w:t>
            </w:r>
          </w:p>
          <w:p w:rsidR="00044630" w:rsidRPr="00F83C6B" w:rsidRDefault="00044630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>Notruf</w:t>
            </w:r>
          </w:p>
          <w:p w:rsidR="00044630" w:rsidRPr="00F83C6B" w:rsidRDefault="00044630" w:rsidP="00C839E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>Feuerwehr</w:t>
            </w:r>
          </w:p>
        </w:tc>
      </w:tr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</w:pPr>
            <w:r w:rsidRPr="00F83C6B"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  <w:t>sachgerechte Entsorgung</w:t>
            </w:r>
          </w:p>
        </w:tc>
      </w:tr>
      <w:tr w:rsidR="0048189E" w:rsidRPr="00F83C6B" w:rsidTr="00F83C6B">
        <w:tc>
          <w:tcPr>
            <w:tcW w:w="2025" w:type="dxa"/>
            <w:vMerge w:val="restart"/>
            <w:shd w:val="clear" w:color="auto" w:fill="auto"/>
          </w:tcPr>
          <w:p w:rsidR="0048189E" w:rsidRPr="00F83C6B" w:rsidRDefault="00984DB3" w:rsidP="00C839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152525" cy="466725"/>
                  <wp:effectExtent l="0" t="0" r="9525" b="9525"/>
                  <wp:docPr id="11" name="Bild 11" descr="_Pic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_Pic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shd w:val="clear" w:color="auto" w:fill="auto"/>
          </w:tcPr>
          <w:p w:rsidR="00F54AD6" w:rsidRPr="00F83C6B" w:rsidRDefault="00984DB3" w:rsidP="00984DB3">
            <w:pPr>
              <w:autoSpaceDE w:val="0"/>
              <w:autoSpaceDN w:val="0"/>
              <w:adjustRightInd w:val="0"/>
              <w:spacing w:after="7" w:line="230" w:lineRule="exact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Verschüttete Flüssigkeit mit geeignetem Universalbinder aufsaugen und ebenso wie Abfälle in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verschlossenen Gefäßen der zuständigen Stelle zur Entsorgung übergeben. Kleine Mengen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84DB3">
              <w:rPr>
                <w:rFonts w:ascii="Arial" w:hAnsi="Arial" w:cs="Arial"/>
                <w:spacing w:val="2"/>
                <w:sz w:val="20"/>
                <w:szCs w:val="20"/>
              </w:rPr>
              <w:t>dürfen mit Wasser verdünnt in die Kanalisation gelangen.</w:t>
            </w:r>
          </w:p>
        </w:tc>
      </w:tr>
      <w:tr w:rsidR="0048189E" w:rsidRPr="00F83C6B" w:rsidTr="00F83C6B">
        <w:tc>
          <w:tcPr>
            <w:tcW w:w="2025" w:type="dxa"/>
            <w:vMerge/>
            <w:shd w:val="clear" w:color="auto" w:fill="auto"/>
          </w:tcPr>
          <w:p w:rsidR="0048189E" w:rsidRPr="00F83C6B" w:rsidRDefault="0048189E" w:rsidP="00C839E1">
            <w:pPr>
              <w:rPr>
                <w:rFonts w:ascii="Arial" w:hAnsi="Arial" w:cs="Arial"/>
              </w:rPr>
            </w:pPr>
          </w:p>
        </w:tc>
        <w:tc>
          <w:tcPr>
            <w:tcW w:w="7263" w:type="dxa"/>
            <w:shd w:val="clear" w:color="auto" w:fill="auto"/>
          </w:tcPr>
          <w:p w:rsidR="0048189E" w:rsidRPr="00F83C6B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Erstellung</w:t>
            </w:r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Prüfung</w:t>
            </w:r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Freigabe</w:t>
            </w:r>
          </w:p>
          <w:p w:rsidR="0048189E" w:rsidRPr="00F83C6B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>Datum</w:t>
            </w:r>
          </w:p>
          <w:p w:rsidR="0048189E" w:rsidRPr="00F83C6B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  <w:p w:rsidR="0048189E" w:rsidRPr="00F83C6B" w:rsidRDefault="0048189E" w:rsidP="00C839E1">
            <w:pPr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>Unterschrift</w:t>
            </w:r>
          </w:p>
        </w:tc>
      </w:tr>
    </w:tbl>
    <w:p w:rsidR="00D664D0" w:rsidRPr="00C839E1" w:rsidRDefault="00D664D0" w:rsidP="00C839E1">
      <w:pPr>
        <w:rPr>
          <w:rFonts w:ascii="Arial" w:hAnsi="Arial" w:cs="Arial"/>
        </w:rPr>
      </w:pPr>
    </w:p>
    <w:sectPr w:rsidR="00D664D0" w:rsidRPr="00C839E1" w:rsidSect="005F5D24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B3"/>
    <w:rsid w:val="00044630"/>
    <w:rsid w:val="001477D0"/>
    <w:rsid w:val="001D6575"/>
    <w:rsid w:val="001E2CF2"/>
    <w:rsid w:val="001F58AF"/>
    <w:rsid w:val="00232051"/>
    <w:rsid w:val="00290FA6"/>
    <w:rsid w:val="003B1A62"/>
    <w:rsid w:val="003B4F1C"/>
    <w:rsid w:val="0048189E"/>
    <w:rsid w:val="004B4916"/>
    <w:rsid w:val="005B5D41"/>
    <w:rsid w:val="005F5D24"/>
    <w:rsid w:val="00645973"/>
    <w:rsid w:val="00674E04"/>
    <w:rsid w:val="00694DF9"/>
    <w:rsid w:val="006D16BE"/>
    <w:rsid w:val="006F163F"/>
    <w:rsid w:val="007237EE"/>
    <w:rsid w:val="00780741"/>
    <w:rsid w:val="00792B6B"/>
    <w:rsid w:val="0086037E"/>
    <w:rsid w:val="008A7C66"/>
    <w:rsid w:val="008F6C6B"/>
    <w:rsid w:val="00900F60"/>
    <w:rsid w:val="00984DB3"/>
    <w:rsid w:val="009C3CB5"/>
    <w:rsid w:val="009E4313"/>
    <w:rsid w:val="00A25BB7"/>
    <w:rsid w:val="00AE17C9"/>
    <w:rsid w:val="00B137C4"/>
    <w:rsid w:val="00B74AE7"/>
    <w:rsid w:val="00BF1FF8"/>
    <w:rsid w:val="00C839E1"/>
    <w:rsid w:val="00CF2C6C"/>
    <w:rsid w:val="00D664D0"/>
    <w:rsid w:val="00E904A4"/>
    <w:rsid w:val="00F54AD6"/>
    <w:rsid w:val="00F8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D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D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tockmeier%20Chemie%20Bielefeld\Verkauf\Reiniger\Innendienst\Simons\Diverses\Vorlage%20Betriebsanweisung%20NE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Betriebsanweisung NEU</Template>
  <TotalTime>0</TotalTime>
  <Pages>1</Pages>
  <Words>341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</vt:lpstr>
    </vt:vector>
  </TitlesOfParts>
  <Company>Stockmeier Gruppe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</dc:title>
  <dc:creator>Simons, Marcel</dc:creator>
  <cp:lastModifiedBy>Simons, Marcel</cp:lastModifiedBy>
  <cp:revision>1</cp:revision>
  <cp:lastPrinted>2006-02-22T10:13:00Z</cp:lastPrinted>
  <dcterms:created xsi:type="dcterms:W3CDTF">2017-06-06T07:56:00Z</dcterms:created>
  <dcterms:modified xsi:type="dcterms:W3CDTF">2017-06-06T07:59:00Z</dcterms:modified>
</cp:coreProperties>
</file>